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770F" w14:textId="77777777" w:rsidR="008120A0" w:rsidRPr="00073968" w:rsidRDefault="008120A0" w:rsidP="00812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  <w:r w:rsidRPr="00073968">
        <w:rPr>
          <w:noProof/>
          <w:color w:val="000000"/>
          <w:sz w:val="22"/>
          <w:szCs w:val="22"/>
          <w:lang w:eastAsia="hu-HU"/>
        </w:rPr>
        <w:drawing>
          <wp:anchor distT="0" distB="0" distL="114300" distR="114300" simplePos="0" relativeHeight="251660288" behindDoc="0" locked="0" layoutInCell="1" allowOverlap="1" wp14:anchorId="5C0DAB2B" wp14:editId="136C79C0">
            <wp:simplePos x="0" y="0"/>
            <wp:positionH relativeFrom="column">
              <wp:posOffset>2956560</wp:posOffset>
            </wp:positionH>
            <wp:positionV relativeFrom="paragraph">
              <wp:posOffset>-278765</wp:posOffset>
            </wp:positionV>
            <wp:extent cx="2639060" cy="1238250"/>
            <wp:effectExtent l="0" t="0" r="0" b="0"/>
            <wp:wrapNone/>
            <wp:docPr id="1" name="Kép 1" descr="A képen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képernyőkép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3968">
        <w:rPr>
          <w:rFonts w:eastAsia="CandidaReg"/>
          <w:noProof/>
          <w:color w:val="000000"/>
          <w:sz w:val="22"/>
          <w:szCs w:val="22"/>
          <w:lang w:eastAsia="hu-HU"/>
        </w:rPr>
        <w:drawing>
          <wp:anchor distT="0" distB="0" distL="114300" distR="114300" simplePos="0" relativeHeight="251659264" behindDoc="0" locked="0" layoutInCell="1" hidden="0" allowOverlap="1" wp14:anchorId="43876828" wp14:editId="3CB3A338">
            <wp:simplePos x="0" y="0"/>
            <wp:positionH relativeFrom="leftMargin">
              <wp:posOffset>1224915</wp:posOffset>
            </wp:positionH>
            <wp:positionV relativeFrom="topMargin">
              <wp:posOffset>605790</wp:posOffset>
            </wp:positionV>
            <wp:extent cx="1771650" cy="1085850"/>
            <wp:effectExtent l="0" t="0" r="0" b="0"/>
            <wp:wrapSquare wrapText="bothSides" distT="0" distB="0" distL="114300" distR="114300"/>
            <wp:docPr id="5" name="image2.png" descr="A képen szöveg, Betűtípus, Grafika, embléma látható&#10;&#10;Előfordulhat, hogy a mesterséges intelligencia által létrehozott tartalom helytel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A képen szöveg, Betűtípus, Grafika, embléma látható&#10;&#10;Előfordulhat, hogy a mesterséges intelligencia által létrehozott tartalom helytelen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2896945" wp14:editId="7C98524E">
                <wp:simplePos x="0" y="0"/>
                <wp:positionH relativeFrom="margin">
                  <wp:align>right</wp:align>
                </wp:positionH>
                <wp:positionV relativeFrom="paragraph">
                  <wp:posOffset>-255905</wp:posOffset>
                </wp:positionV>
                <wp:extent cx="0" cy="1123950"/>
                <wp:effectExtent l="0" t="0" r="19050" b="0"/>
                <wp:wrapNone/>
                <wp:docPr id="882280889" name="Egyenes összekötő nyíllal 882280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D1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882280889" o:spid="_x0000_s1026" type="#_x0000_t32" style="position:absolute;margin-left:-51.2pt;margin-top:-20.15pt;width:0;height:88.5pt;z-index:251661312;visibility:visible;mso-wrap-style:squar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xIzAEAAJoDAAAOAAAAZHJzL2Uyb0RvYy54bWysU02P2yAQvVfqf0DcGyep+mXF2UPS7WXV&#10;rrTbHzABbKMCgxg2Tv59B5xNvw6VqvqAGJh58+bxvLk5eSeOJpHF0MnVYimFCQq1DUMnvz7evnov&#10;BWUIGhwG08mzIXmzffliM8XWrHFEp00SDBKonWInx5xj2zSkRuOBFhhN4Msek4fMYRoanWBidO+a&#10;9XL5tpkw6ZhQGSI+3c+Xclvx+96o/KXvyWThOsnccl1TXQ9lbbYbaIcEcbTqQgP+gYUHG7jpFWoP&#10;GcRTsn9AeasSEvZ5odA32PdWmToDT7Na/jbNwwjR1FlYHIpXmej/warPx124T4W6OoWHeIfqG7Eo&#10;zRSpvV6WgOKcduqTL+nMXZyqkOerkOaUhZoPFZ+uVuvXH95UkRtonwtjovzJoBdl00nKCeww5h2G&#10;wM+FaVWFhOMd5UIE2ueC0jXgrXWuvpoLYuIe63dLflgFbJ7eQeatj5phw1BxCJ3VpaZUUxoOO5fE&#10;EYod6lccwD1+SSsN90DjnFevZqMkfAq6Nh8N6I9Bi3yO7OrA3paFDXkpnOE/gTc1L4N1f89jAi5c&#10;RJ91LoofUJ/vU+FXIjZAZXoxa3HYz3HN+vFLbb8DAAD//wMAUEsDBBQABgAIAAAAIQAJk2vS2wAA&#10;AAUBAAAPAAAAZHJzL2Rvd25yZXYueG1sTI9LT8MwEITvSPwHa5G4tTYtKiiNUyEeFRwp9NDbJt4m&#10;AT+i2E0Cv57lBMfRjGa+yTeTs2KgPrbBa7iaKxDkq2BaX2t4f3ua3YKICb1BGzxp+KIIm+L8LMfM&#10;hNG/0rBLteASHzPU0KTUZVLGqiGHcR468uwdQ+8wsexraXocudxZuVBqJR22nhca7Oi+oepzd3Ia&#10;Dh/b53I84gPJxf770Q4vldoetL68mO7WIBJN6S8Mv/iMDgUzleHkTRRWAx9JGmbXagmCbZYlh5ar&#10;G5BFLv/TFz8AAAD//wMAUEsBAi0AFAAGAAgAAAAhALaDOJL+AAAA4QEAABMAAAAAAAAAAAAAAAAA&#10;AAAAAFtDb250ZW50X1R5cGVzXS54bWxQSwECLQAUAAYACAAAACEAOP0h/9YAAACUAQAACwAAAAAA&#10;AAAAAAAAAAAvAQAAX3JlbHMvLnJlbHNQSwECLQAUAAYACAAAACEAuUN8SMwBAACaAwAADgAAAAAA&#10;AAAAAAAAAAAuAgAAZHJzL2Uyb0RvYy54bWxQSwECLQAUAAYACAAAACEACZNr0tsAAAAFAQAADwAA&#10;AAAAAAAAAAAAAAAmBAAAZHJzL2Rvd25yZXYueG1sUEsFBgAAAAAEAAQA8wAAAC4FAAAAAA==&#10;" strokeweight="1pt">
                <v:stroke startarrowwidth="narrow" startarrowlength="short" endarrowwidth="narrow" endarrowlength="short"/>
                <o:lock v:ext="edit" shapetype="f"/>
                <w10:wrap anchorx="margin"/>
              </v:shape>
            </w:pict>
          </mc:Fallback>
        </mc:AlternateContent>
      </w:r>
    </w:p>
    <w:p w14:paraId="671746A6" w14:textId="77777777" w:rsidR="008120A0" w:rsidRPr="00073968" w:rsidRDefault="008120A0" w:rsidP="00812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</w:p>
    <w:p w14:paraId="02FE4419" w14:textId="77777777" w:rsidR="008120A0" w:rsidRPr="00073968" w:rsidRDefault="008120A0" w:rsidP="008120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2"/>
          <w:szCs w:val="22"/>
        </w:rPr>
      </w:pPr>
    </w:p>
    <w:p w14:paraId="6F8714DF" w14:textId="77777777" w:rsidR="008120A0" w:rsidRDefault="008120A0" w:rsidP="008120A0">
      <w:pPr>
        <w:pStyle w:val="Default"/>
        <w:rPr>
          <w:b/>
          <w:bCs/>
          <w:sz w:val="22"/>
          <w:szCs w:val="22"/>
        </w:rPr>
      </w:pPr>
    </w:p>
    <w:p w14:paraId="2C38AC25" w14:textId="77777777" w:rsidR="008120A0" w:rsidRPr="00073968" w:rsidRDefault="008120A0" w:rsidP="008120A0">
      <w:pPr>
        <w:pStyle w:val="Default"/>
        <w:rPr>
          <w:b/>
          <w:bCs/>
          <w:sz w:val="22"/>
          <w:szCs w:val="22"/>
        </w:rPr>
      </w:pPr>
    </w:p>
    <w:p w14:paraId="1530DF09" w14:textId="77777777" w:rsidR="008120A0" w:rsidRPr="00073968" w:rsidRDefault="008120A0" w:rsidP="008120A0">
      <w:pPr>
        <w:pStyle w:val="Default"/>
        <w:rPr>
          <w:b/>
          <w:bCs/>
          <w:sz w:val="22"/>
          <w:szCs w:val="22"/>
        </w:rPr>
      </w:pPr>
    </w:p>
    <w:p w14:paraId="0EE91CB6" w14:textId="77777777" w:rsidR="008120A0" w:rsidRDefault="008120A0" w:rsidP="008120A0">
      <w:pPr>
        <w:pStyle w:val="Default"/>
        <w:jc w:val="center"/>
        <w:rPr>
          <w:b/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>ADATKEZELÉSI TÁJÉKOZTATÓ</w:t>
      </w:r>
    </w:p>
    <w:p w14:paraId="1FFF2DB0" w14:textId="7EFD10F6" w:rsidR="008120A0" w:rsidRDefault="008120A0" w:rsidP="008120A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  <w:r w:rsidRPr="008120A0">
        <w:rPr>
          <w:sz w:val="22"/>
          <w:szCs w:val="22"/>
        </w:rPr>
        <w:t>gyházak, vallásfelekezetek és vallási közösségek</w:t>
      </w:r>
      <w:r>
        <w:rPr>
          <w:sz w:val="22"/>
          <w:szCs w:val="22"/>
        </w:rPr>
        <w:t xml:space="preserve"> </w:t>
      </w:r>
      <w:r w:rsidRPr="00AC038D">
        <w:rPr>
          <w:sz w:val="22"/>
          <w:szCs w:val="22"/>
        </w:rPr>
        <w:t>2025. évi programjainak támogatásá</w:t>
      </w:r>
      <w:r>
        <w:rPr>
          <w:sz w:val="22"/>
          <w:szCs w:val="22"/>
        </w:rPr>
        <w:t>val kapcsolatos adatkezelésről</w:t>
      </w:r>
    </w:p>
    <w:p w14:paraId="1B887BED" w14:textId="77777777" w:rsidR="008120A0" w:rsidRPr="00073968" w:rsidRDefault="008120A0" w:rsidP="008120A0">
      <w:pPr>
        <w:pStyle w:val="Default"/>
        <w:rPr>
          <w:sz w:val="22"/>
          <w:szCs w:val="22"/>
        </w:rPr>
      </w:pPr>
    </w:p>
    <w:p w14:paraId="5E06F568" w14:textId="77777777" w:rsidR="008120A0" w:rsidRDefault="008120A0" w:rsidP="008120A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tájékoztató célja:</w:t>
      </w:r>
    </w:p>
    <w:p w14:paraId="4C018D78" w14:textId="77777777" w:rsidR="008120A0" w:rsidRDefault="008120A0" w:rsidP="008120A0">
      <w:pPr>
        <w:pStyle w:val="Default"/>
        <w:ind w:left="720"/>
        <w:rPr>
          <w:b/>
          <w:bCs/>
          <w:sz w:val="22"/>
          <w:szCs w:val="22"/>
        </w:rPr>
      </w:pPr>
    </w:p>
    <w:p w14:paraId="729D03A4" w14:textId="3801E8DC" w:rsidR="008120A0" w:rsidRPr="00C509BE" w:rsidRDefault="008120A0" w:rsidP="008120A0">
      <w:pPr>
        <w:pStyle w:val="Default"/>
        <w:ind w:left="720"/>
        <w:jc w:val="both"/>
        <w:rPr>
          <w:sz w:val="22"/>
          <w:szCs w:val="22"/>
        </w:rPr>
      </w:pPr>
      <w:r w:rsidRPr="00C509BE">
        <w:rPr>
          <w:sz w:val="22"/>
          <w:szCs w:val="22"/>
        </w:rPr>
        <w:t xml:space="preserve">Jelen Tájékoztatót </w:t>
      </w:r>
      <w:r>
        <w:rPr>
          <w:sz w:val="22"/>
          <w:szCs w:val="22"/>
        </w:rPr>
        <w:t xml:space="preserve">a Hivatal </w:t>
      </w:r>
      <w:r w:rsidRPr="00C509BE">
        <w:rPr>
          <w:sz w:val="22"/>
          <w:szCs w:val="22"/>
        </w:rPr>
        <w:t xml:space="preserve">abból </w:t>
      </w:r>
      <w:r>
        <w:rPr>
          <w:sz w:val="22"/>
          <w:szCs w:val="22"/>
        </w:rPr>
        <w:t xml:space="preserve">a </w:t>
      </w:r>
      <w:r w:rsidRPr="00C509BE">
        <w:rPr>
          <w:sz w:val="22"/>
          <w:szCs w:val="22"/>
        </w:rPr>
        <w:t>célból fogadja el, hogy</w:t>
      </w:r>
      <w:r>
        <w:rPr>
          <w:sz w:val="22"/>
          <w:szCs w:val="22"/>
        </w:rPr>
        <w:t xml:space="preserve"> a</w:t>
      </w:r>
      <w:r w:rsidRPr="00073968">
        <w:rPr>
          <w:sz w:val="22"/>
          <w:szCs w:val="22"/>
        </w:rPr>
        <w:t xml:space="preserve"> Budapest Főváros XV. Kerület</w:t>
      </w:r>
      <w:r>
        <w:rPr>
          <w:sz w:val="22"/>
          <w:szCs w:val="22"/>
        </w:rPr>
        <w:t xml:space="preserve"> e</w:t>
      </w:r>
      <w:r w:rsidRPr="008120A0">
        <w:rPr>
          <w:sz w:val="22"/>
          <w:szCs w:val="22"/>
        </w:rPr>
        <w:t>gyházak, vallásfelekezetek és vallási közösségek</w:t>
      </w:r>
      <w:r>
        <w:rPr>
          <w:sz w:val="22"/>
          <w:szCs w:val="22"/>
        </w:rPr>
        <w:t xml:space="preserve"> </w:t>
      </w:r>
      <w:r w:rsidRPr="00AC038D">
        <w:rPr>
          <w:sz w:val="22"/>
          <w:szCs w:val="22"/>
        </w:rPr>
        <w:t>2025. évi programjainak támogatásá</w:t>
      </w:r>
      <w:r>
        <w:rPr>
          <w:sz w:val="22"/>
          <w:szCs w:val="22"/>
        </w:rPr>
        <w:t>val kapcsolatos pályázatra</w:t>
      </w:r>
      <w:r w:rsidRPr="00C509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(továbbiakban: pályázat) jelentkező </w:t>
      </w:r>
      <w:r w:rsidRPr="008120A0">
        <w:rPr>
          <w:sz w:val="22"/>
          <w:szCs w:val="22"/>
        </w:rPr>
        <w:t>egyházak, vallásfelekezetek és vallási közösségek</w:t>
      </w:r>
      <w:r>
        <w:rPr>
          <w:sz w:val="22"/>
          <w:szCs w:val="22"/>
        </w:rPr>
        <w:t xml:space="preserve"> </w:t>
      </w:r>
      <w:r w:rsidRPr="00C509BE">
        <w:rPr>
          <w:sz w:val="22"/>
          <w:szCs w:val="22"/>
        </w:rPr>
        <w:t>részére</w:t>
      </w:r>
      <w:r>
        <w:rPr>
          <w:sz w:val="22"/>
          <w:szCs w:val="22"/>
        </w:rPr>
        <w:t xml:space="preserve"> </w:t>
      </w:r>
      <w:r w:rsidRPr="00C509BE">
        <w:rPr>
          <w:sz w:val="22"/>
          <w:szCs w:val="22"/>
        </w:rPr>
        <w:t xml:space="preserve">minden lényeges információt és tájékoztatást tömör, átlátható, érthető és könnyen hozzáférhető formában, világosan és közérthetően megfogalmazva közöljön, valamint segítse </w:t>
      </w:r>
      <w:r>
        <w:rPr>
          <w:sz w:val="22"/>
          <w:szCs w:val="22"/>
        </w:rPr>
        <w:t xml:space="preserve">őket </w:t>
      </w:r>
      <w:r w:rsidRPr="00C509BE">
        <w:rPr>
          <w:sz w:val="22"/>
          <w:szCs w:val="22"/>
        </w:rPr>
        <w:t xml:space="preserve">a </w:t>
      </w:r>
      <w:r>
        <w:rPr>
          <w:sz w:val="22"/>
          <w:szCs w:val="22"/>
        </w:rPr>
        <w:t>X</w:t>
      </w:r>
      <w:r w:rsidRPr="00C509BE">
        <w:rPr>
          <w:sz w:val="22"/>
          <w:szCs w:val="22"/>
        </w:rPr>
        <w:t xml:space="preserve">. pontban szereplő jogaik gyakorlásában. </w:t>
      </w:r>
    </w:p>
    <w:p w14:paraId="0CA19C9F" w14:textId="77777777" w:rsidR="008120A0" w:rsidRPr="00C509BE" w:rsidRDefault="008120A0" w:rsidP="008120A0">
      <w:pPr>
        <w:pStyle w:val="Default"/>
        <w:ind w:left="720"/>
        <w:jc w:val="both"/>
        <w:rPr>
          <w:sz w:val="22"/>
          <w:szCs w:val="22"/>
        </w:rPr>
      </w:pPr>
      <w:r w:rsidRPr="00C509BE">
        <w:rPr>
          <w:sz w:val="22"/>
          <w:szCs w:val="22"/>
        </w:rPr>
        <w:t xml:space="preserve">A </w:t>
      </w:r>
      <w:r>
        <w:rPr>
          <w:sz w:val="22"/>
          <w:szCs w:val="22"/>
        </w:rPr>
        <w:t>Hivatal</w:t>
      </w:r>
      <w:r w:rsidRPr="00C509BE">
        <w:rPr>
          <w:sz w:val="22"/>
          <w:szCs w:val="22"/>
        </w:rPr>
        <w:t xml:space="preserve"> tájékoztatási kötelezettségének alapja a 2018. május 25. napjától alkalmazandó, az Európai Parlament és Tanács (EU) 2016/679. számú Rendelet (a tov</w:t>
      </w:r>
      <w:r>
        <w:rPr>
          <w:sz w:val="22"/>
          <w:szCs w:val="22"/>
        </w:rPr>
        <w:t>ábbiakban: GDPR) 13</w:t>
      </w:r>
      <w:r w:rsidRPr="00C509BE">
        <w:rPr>
          <w:sz w:val="22"/>
          <w:szCs w:val="22"/>
        </w:rPr>
        <w:t>. cikke,</w:t>
      </w:r>
      <w:r>
        <w:rPr>
          <w:sz w:val="22"/>
          <w:szCs w:val="22"/>
        </w:rPr>
        <w:t xml:space="preserve"> illetve</w:t>
      </w:r>
      <w:r w:rsidRPr="00C509BE">
        <w:rPr>
          <w:sz w:val="22"/>
          <w:szCs w:val="22"/>
        </w:rPr>
        <w:t xml:space="preserve"> az </w:t>
      </w:r>
      <w:r>
        <w:rPr>
          <w:sz w:val="22"/>
          <w:szCs w:val="22"/>
        </w:rPr>
        <w:t>i</w:t>
      </w:r>
      <w:r w:rsidRPr="00C509BE">
        <w:rPr>
          <w:sz w:val="22"/>
          <w:szCs w:val="22"/>
        </w:rPr>
        <w:t xml:space="preserve">nformációs önrendelkezési jogról és az információszabadságról </w:t>
      </w:r>
      <w:r>
        <w:rPr>
          <w:sz w:val="22"/>
          <w:szCs w:val="22"/>
        </w:rPr>
        <w:t xml:space="preserve">szóló </w:t>
      </w:r>
      <w:r w:rsidRPr="00C509BE">
        <w:rPr>
          <w:sz w:val="22"/>
          <w:szCs w:val="22"/>
        </w:rPr>
        <w:t>2011. évi CXII. törvény</w:t>
      </w:r>
      <w:r>
        <w:rPr>
          <w:sz w:val="22"/>
          <w:szCs w:val="22"/>
        </w:rPr>
        <w:t>.</w:t>
      </w:r>
    </w:p>
    <w:p w14:paraId="2F0244EC" w14:textId="77777777" w:rsidR="008120A0" w:rsidRDefault="008120A0" w:rsidP="008120A0">
      <w:pPr>
        <w:pStyle w:val="Default"/>
        <w:rPr>
          <w:b/>
          <w:bCs/>
          <w:sz w:val="22"/>
          <w:szCs w:val="22"/>
        </w:rPr>
      </w:pPr>
    </w:p>
    <w:p w14:paraId="051ADE51" w14:textId="77777777" w:rsidR="008120A0" w:rsidRPr="001E1FE6" w:rsidRDefault="008120A0" w:rsidP="008120A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 xml:space="preserve">Az adatkezelő és képviselőjének elérhetősége: </w:t>
      </w:r>
    </w:p>
    <w:p w14:paraId="72CF6EF6" w14:textId="77777777" w:rsidR="008120A0" w:rsidRPr="00073968" w:rsidRDefault="008120A0" w:rsidP="008120A0">
      <w:pPr>
        <w:pStyle w:val="Default"/>
        <w:spacing w:before="120" w:line="276" w:lineRule="auto"/>
        <w:ind w:left="709"/>
        <w:rPr>
          <w:sz w:val="22"/>
          <w:szCs w:val="22"/>
        </w:rPr>
      </w:pPr>
      <w:r w:rsidRPr="00073968">
        <w:rPr>
          <w:sz w:val="22"/>
          <w:szCs w:val="22"/>
        </w:rPr>
        <w:t xml:space="preserve">Budapest Főváros XV. kerület Polgármesteri Hivatal (a továbbiakban: Hivatal)  </w:t>
      </w:r>
    </w:p>
    <w:p w14:paraId="1AE0D3A6" w14:textId="77777777" w:rsidR="008120A0" w:rsidRPr="00073968" w:rsidRDefault="008120A0" w:rsidP="008120A0">
      <w:pPr>
        <w:pStyle w:val="Default"/>
        <w:spacing w:line="276" w:lineRule="auto"/>
        <w:ind w:firstLine="708"/>
        <w:rPr>
          <w:sz w:val="22"/>
          <w:szCs w:val="22"/>
        </w:rPr>
      </w:pPr>
      <w:r w:rsidRPr="00073968">
        <w:rPr>
          <w:sz w:val="22"/>
          <w:szCs w:val="22"/>
        </w:rPr>
        <w:t xml:space="preserve">E-mail címe: </w:t>
      </w:r>
      <w:hyperlink r:id="rId7" w:history="1">
        <w:r w:rsidRPr="00073968">
          <w:rPr>
            <w:rStyle w:val="Hiperhivatkozs"/>
            <w:sz w:val="22"/>
            <w:szCs w:val="22"/>
          </w:rPr>
          <w:t>jegyzo@bpxv.hu</w:t>
        </w:r>
      </w:hyperlink>
      <w:r w:rsidRPr="00073968">
        <w:rPr>
          <w:sz w:val="22"/>
          <w:szCs w:val="22"/>
        </w:rPr>
        <w:t xml:space="preserve"> </w:t>
      </w:r>
    </w:p>
    <w:p w14:paraId="3E243995" w14:textId="77777777" w:rsidR="008120A0" w:rsidRPr="00073968" w:rsidRDefault="008120A0" w:rsidP="008120A0">
      <w:pPr>
        <w:pStyle w:val="Default"/>
        <w:spacing w:line="276" w:lineRule="auto"/>
        <w:ind w:firstLine="708"/>
        <w:rPr>
          <w:sz w:val="22"/>
          <w:szCs w:val="22"/>
        </w:rPr>
      </w:pPr>
      <w:r w:rsidRPr="00073968">
        <w:rPr>
          <w:sz w:val="22"/>
          <w:szCs w:val="22"/>
        </w:rPr>
        <w:t>Címe:1153 Budapest, Bocskai utca 1-3.</w:t>
      </w:r>
    </w:p>
    <w:p w14:paraId="0EC1DE67" w14:textId="77777777" w:rsidR="008120A0" w:rsidRPr="00073968" w:rsidRDefault="008120A0" w:rsidP="008120A0">
      <w:pPr>
        <w:pStyle w:val="Default"/>
        <w:spacing w:line="276" w:lineRule="auto"/>
        <w:ind w:firstLine="708"/>
        <w:rPr>
          <w:sz w:val="22"/>
          <w:szCs w:val="22"/>
        </w:rPr>
      </w:pPr>
      <w:r w:rsidRPr="00073968">
        <w:rPr>
          <w:sz w:val="22"/>
          <w:szCs w:val="22"/>
        </w:rPr>
        <w:t>Telefoni elérhetőség: 305-3208</w:t>
      </w:r>
    </w:p>
    <w:p w14:paraId="3E7DBDA8" w14:textId="77777777" w:rsidR="008120A0" w:rsidRPr="00073968" w:rsidRDefault="008120A0" w:rsidP="008120A0">
      <w:pPr>
        <w:pStyle w:val="Default"/>
        <w:spacing w:after="240" w:line="276" w:lineRule="auto"/>
        <w:ind w:firstLine="709"/>
        <w:rPr>
          <w:sz w:val="22"/>
          <w:szCs w:val="22"/>
        </w:rPr>
      </w:pPr>
      <w:r w:rsidRPr="00073968">
        <w:rPr>
          <w:sz w:val="22"/>
          <w:szCs w:val="22"/>
        </w:rPr>
        <w:t xml:space="preserve">Honlap: </w:t>
      </w:r>
      <w:hyperlink r:id="rId8" w:history="1">
        <w:r w:rsidRPr="00073968">
          <w:rPr>
            <w:rStyle w:val="Hiperhivatkozs"/>
            <w:sz w:val="22"/>
            <w:szCs w:val="22"/>
          </w:rPr>
          <w:t>www.bpxv.hu</w:t>
        </w:r>
      </w:hyperlink>
    </w:p>
    <w:p w14:paraId="78E19E42" w14:textId="77777777" w:rsidR="008120A0" w:rsidRPr="00073968" w:rsidRDefault="008120A0" w:rsidP="008120A0">
      <w:pPr>
        <w:ind w:firstLine="708"/>
        <w:rPr>
          <w:b/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>Adatvédelmi tisztviselő elérhetősége:</w:t>
      </w:r>
    </w:p>
    <w:p w14:paraId="02814E14" w14:textId="77777777" w:rsidR="008120A0" w:rsidRPr="00073968" w:rsidRDefault="008120A0" w:rsidP="008120A0">
      <w:pPr>
        <w:spacing w:after="0"/>
        <w:ind w:firstLine="708"/>
        <w:rPr>
          <w:color w:val="0000FF"/>
          <w:sz w:val="22"/>
          <w:szCs w:val="22"/>
          <w:u w:val="single"/>
        </w:rPr>
      </w:pPr>
      <w:r w:rsidRPr="00073968">
        <w:rPr>
          <w:sz w:val="22"/>
          <w:szCs w:val="22"/>
        </w:rPr>
        <w:t xml:space="preserve">E-mail cím: </w:t>
      </w:r>
      <w:hyperlink r:id="rId9" w:history="1">
        <w:r w:rsidRPr="00073968">
          <w:rPr>
            <w:rStyle w:val="Hiperhivatkozs"/>
            <w:sz w:val="22"/>
            <w:szCs w:val="22"/>
          </w:rPr>
          <w:t>adatvedelmi.tisztviselo@bpxv.hu</w:t>
        </w:r>
      </w:hyperlink>
    </w:p>
    <w:p w14:paraId="359D11BC" w14:textId="77777777" w:rsidR="008120A0" w:rsidRPr="00073968" w:rsidRDefault="008120A0" w:rsidP="008120A0">
      <w:pPr>
        <w:pStyle w:val="Default"/>
        <w:rPr>
          <w:sz w:val="22"/>
          <w:szCs w:val="22"/>
        </w:rPr>
      </w:pPr>
    </w:p>
    <w:p w14:paraId="65BE232D" w14:textId="77777777" w:rsidR="008120A0" w:rsidRPr="00073968" w:rsidRDefault="008120A0" w:rsidP="008120A0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 xml:space="preserve">Az adatkezeléssel érintettek köre: </w:t>
      </w:r>
    </w:p>
    <w:p w14:paraId="4A5869F0" w14:textId="77777777" w:rsidR="008120A0" w:rsidRPr="00073968" w:rsidRDefault="008120A0" w:rsidP="008120A0">
      <w:pPr>
        <w:pStyle w:val="Default"/>
        <w:ind w:left="720"/>
        <w:rPr>
          <w:b/>
          <w:bCs/>
          <w:sz w:val="22"/>
          <w:szCs w:val="22"/>
        </w:rPr>
      </w:pPr>
    </w:p>
    <w:p w14:paraId="3CE4E7F1" w14:textId="303F4B41" w:rsidR="008120A0" w:rsidRDefault="008120A0" w:rsidP="006254E7">
      <w:pPr>
        <w:pStyle w:val="Default"/>
        <w:ind w:left="720"/>
        <w:jc w:val="both"/>
        <w:rPr>
          <w:color w:val="auto"/>
          <w:sz w:val="22"/>
          <w:szCs w:val="22"/>
        </w:rPr>
      </w:pPr>
      <w:bookmarkStart w:id="0" w:name="_Hlk145528557"/>
      <w:r>
        <w:rPr>
          <w:color w:val="auto"/>
          <w:sz w:val="22"/>
          <w:szCs w:val="22"/>
        </w:rPr>
        <w:t xml:space="preserve">A </w:t>
      </w:r>
      <w:bookmarkEnd w:id="0"/>
      <w:r>
        <w:rPr>
          <w:color w:val="auto"/>
          <w:sz w:val="22"/>
          <w:szCs w:val="22"/>
        </w:rPr>
        <w:t xml:space="preserve">Pályázatban résztvevő </w:t>
      </w:r>
      <w:r w:rsidRPr="008120A0">
        <w:rPr>
          <w:color w:val="auto"/>
          <w:sz w:val="22"/>
          <w:szCs w:val="22"/>
        </w:rPr>
        <w:t xml:space="preserve">egyházak, vallásfelekezetek és vallási közösségek </w:t>
      </w:r>
      <w:r>
        <w:rPr>
          <w:color w:val="auto"/>
          <w:sz w:val="22"/>
          <w:szCs w:val="22"/>
        </w:rPr>
        <w:t>(továbbiakban: Pályázó egyházak).</w:t>
      </w:r>
    </w:p>
    <w:p w14:paraId="34A2D487" w14:textId="77777777" w:rsidR="008120A0" w:rsidRPr="00073968" w:rsidRDefault="008120A0" w:rsidP="008120A0">
      <w:pPr>
        <w:pStyle w:val="Default"/>
        <w:rPr>
          <w:color w:val="auto"/>
          <w:sz w:val="22"/>
          <w:szCs w:val="22"/>
        </w:rPr>
      </w:pPr>
    </w:p>
    <w:p w14:paraId="65C01FEC" w14:textId="77777777" w:rsidR="008120A0" w:rsidRPr="00FD10CA" w:rsidRDefault="008120A0" w:rsidP="008120A0">
      <w:pPr>
        <w:pStyle w:val="Listaszerbekezds"/>
        <w:numPr>
          <w:ilvl w:val="0"/>
          <w:numId w:val="1"/>
        </w:numPr>
        <w:contextualSpacing w:val="0"/>
        <w:rPr>
          <w:sz w:val="22"/>
          <w:szCs w:val="22"/>
        </w:rPr>
      </w:pPr>
      <w:r w:rsidRPr="00F80A00">
        <w:rPr>
          <w:b/>
          <w:bCs/>
          <w:sz w:val="22"/>
          <w:szCs w:val="22"/>
        </w:rPr>
        <w:t>A kezelt adatok köre, az adatkezelés célja, jogalapja és időtartama:</w:t>
      </w:r>
    </w:p>
    <w:tbl>
      <w:tblPr>
        <w:tblpPr w:leftFromText="141" w:rightFromText="141" w:vertAnchor="text" w:horzAnchor="margin" w:tblpXSpec="center" w:tblpY="-771"/>
        <w:tblW w:w="9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024"/>
        <w:gridCol w:w="3646"/>
        <w:gridCol w:w="2256"/>
      </w:tblGrid>
      <w:tr w:rsidR="008120A0" w:rsidRPr="00A06901" w14:paraId="03A18771" w14:textId="77777777" w:rsidTr="0069509F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9B9F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</w:pPr>
            <w:r w:rsidRPr="00A06901"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  <w:lastRenderedPageBreak/>
              <w:t>Személyes adat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D20C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</w:pPr>
            <w:r w:rsidRPr="00A06901"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  <w:t>Cél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B13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</w:pPr>
            <w:r w:rsidRPr="00A06901"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  <w:t>Jogalap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1E5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</w:pPr>
            <w:r w:rsidRPr="00A06901">
              <w:rPr>
                <w:rFonts w:eastAsia="Times New Roman"/>
                <w:i/>
                <w:color w:val="000000"/>
                <w:sz w:val="22"/>
                <w:szCs w:val="22"/>
                <w:lang w:eastAsia="hu-HU"/>
              </w:rPr>
              <w:t>Adatok megőrzésének ideje</w:t>
            </w:r>
          </w:p>
        </w:tc>
      </w:tr>
      <w:tr w:rsidR="008120A0" w:rsidRPr="00A06901" w14:paraId="2916B41C" w14:textId="77777777" w:rsidTr="0069509F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5A4D5" w14:textId="78661D6A" w:rsidR="008120A0" w:rsidRPr="00433D0D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Pályázó egyház megnevezése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74B8" w14:textId="0992E27C" w:rsidR="008120A0" w:rsidRPr="00433D0D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433D0D"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Jelentkezés </w:t>
            </w: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a pályázatra, Pályázó egyház beazonosítása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7B8D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BFB8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2CF09073" w14:textId="77777777" w:rsidTr="0069509F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6DD6" w14:textId="3F10D0AA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Pályázó egyház címe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9883" w14:textId="558A8B5A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Pályázó egyház beazonosítása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B767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ADC8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6D39A45A" w14:textId="77777777" w:rsidTr="0069509F">
        <w:trPr>
          <w:trHeight w:val="5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477F" w14:textId="1C506506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Pályázó egyház telefonszáma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DA40F" w14:textId="49088554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kapcsolattartás a Pályázó egyházzal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B3E1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B62C" w14:textId="77777777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1322ABB6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FFE3" w14:textId="6C7130CD" w:rsidR="008120A0" w:rsidRPr="00A06901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Pályázó egyház email címe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9696" w14:textId="13C44AAB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kapcsolattartás a Pályázó egyházzal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0BA47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72211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7C01D50F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2E2C" w14:textId="28ACF362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Pályázó egyház </w:t>
            </w:r>
            <w:r w:rsidRPr="00AC038D">
              <w:rPr>
                <w:sz w:val="22"/>
                <w:szCs w:val="22"/>
              </w:rPr>
              <w:t>képviselő</w:t>
            </w:r>
            <w:r>
              <w:rPr>
                <w:sz w:val="22"/>
                <w:szCs w:val="22"/>
              </w:rPr>
              <w:t>jének</w:t>
            </w:r>
            <w:r w:rsidRPr="00AC038D">
              <w:rPr>
                <w:sz w:val="22"/>
                <w:szCs w:val="22"/>
              </w:rPr>
              <w:t xml:space="preserve"> neve</w:t>
            </w: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 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2BA6" w14:textId="3CC46C66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Pályázó egyház beazonosítása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134BA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0B0F8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476B9096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549F" w14:textId="43ED6001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Pályázó egyház </w:t>
            </w:r>
            <w:r w:rsidRPr="00AC038D">
              <w:rPr>
                <w:sz w:val="22"/>
                <w:szCs w:val="22"/>
              </w:rPr>
              <w:t>képviselő</w:t>
            </w:r>
            <w:r>
              <w:rPr>
                <w:sz w:val="22"/>
                <w:szCs w:val="22"/>
              </w:rPr>
              <w:t>jének</w:t>
            </w:r>
            <w:r w:rsidRPr="00AC03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telefonszáma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3666" w14:textId="5F35BDA2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kapcsolattartás a Pályázó egyházzal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A57" w14:textId="740133C9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A9CB" w14:textId="14E393F8" w:rsidR="008120A0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3D821F09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6004" w14:textId="26FB9468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Pályázó egyház </w:t>
            </w:r>
            <w:r w:rsidRPr="00AC038D">
              <w:rPr>
                <w:sz w:val="22"/>
                <w:szCs w:val="22"/>
              </w:rPr>
              <w:t>képviselő</w:t>
            </w:r>
            <w:r>
              <w:rPr>
                <w:sz w:val="22"/>
                <w:szCs w:val="22"/>
              </w:rPr>
              <w:t>jének email címe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5D42" w14:textId="2BB8E09F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kapcsolattartás a Pályázó egyházzal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84B7" w14:textId="6D2C9AE8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5538" w14:textId="79B05367" w:rsidR="008120A0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280A6EDB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9C9E5" w14:textId="6D8D0B9B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Pályázó egyház </w:t>
            </w:r>
            <w:r>
              <w:rPr>
                <w:sz w:val="22"/>
                <w:szCs w:val="22"/>
              </w:rPr>
              <w:t>adószáma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01E0" w14:textId="50314C03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Pályázó egyház beazonosítása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BC43E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5E81" w14:textId="77777777" w:rsidR="008120A0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  <w:tr w:rsidR="008120A0" w:rsidRPr="00A06901" w14:paraId="7EE4A5EF" w14:textId="77777777" w:rsidTr="0069509F">
        <w:trPr>
          <w:trHeight w:val="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81EE" w14:textId="10B84F4D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 xml:space="preserve">Pályázó egyház </w:t>
            </w:r>
            <w:r>
              <w:rPr>
                <w:sz w:val="22"/>
                <w:szCs w:val="22"/>
              </w:rPr>
              <w:t>pénzintézeti számlaszáma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4E0A" w14:textId="245D3F29" w:rsidR="008120A0" w:rsidRDefault="008120A0" w:rsidP="0069509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hu-H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hu-HU"/>
              </w:rPr>
              <w:t>Jelentkezés a pályázatra, Pályázó egyház beazonosítása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2D9E1" w14:textId="77777777" w:rsidR="008120A0" w:rsidRPr="00F32C37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32C37">
              <w:rPr>
                <w:sz w:val="22"/>
                <w:szCs w:val="22"/>
              </w:rPr>
              <w:t xml:space="preserve">GDPR 6. cikk (1) bekezdés e) pontja szerint </w:t>
            </w:r>
            <w:r w:rsidRPr="00735376">
              <w:rPr>
                <w:sz w:val="22"/>
                <w:szCs w:val="22"/>
              </w:rPr>
              <w:t>az adatkezelés közérdekű vagy az adatkezelőre ruházott közhatalmi jogosítvány gyakorlásának keretében végzett feladat végrehajtásához szükséges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7D81" w14:textId="77777777" w:rsidR="008120A0" w:rsidRDefault="008120A0" w:rsidP="006950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Pályázattal kapcsolatos eredményhirdetéséig</w:t>
            </w:r>
          </w:p>
        </w:tc>
      </w:tr>
    </w:tbl>
    <w:p w14:paraId="24BECD7E" w14:textId="77777777" w:rsidR="008120A0" w:rsidRDefault="008120A0" w:rsidP="008120A0">
      <w:pPr>
        <w:pStyle w:val="Default"/>
        <w:jc w:val="both"/>
        <w:rPr>
          <w:color w:val="auto"/>
          <w:sz w:val="22"/>
          <w:szCs w:val="22"/>
        </w:rPr>
      </w:pPr>
    </w:p>
    <w:p w14:paraId="46DE246E" w14:textId="77777777" w:rsidR="008120A0" w:rsidRDefault="008120A0" w:rsidP="008120A0">
      <w:pPr>
        <w:pStyle w:val="Default"/>
        <w:jc w:val="both"/>
        <w:rPr>
          <w:color w:val="auto"/>
          <w:sz w:val="22"/>
          <w:szCs w:val="22"/>
        </w:rPr>
      </w:pPr>
    </w:p>
    <w:p w14:paraId="532858A4" w14:textId="77777777" w:rsidR="008120A0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  <w:r w:rsidRPr="00FD10CA">
        <w:rPr>
          <w:color w:val="auto"/>
          <w:sz w:val="22"/>
          <w:szCs w:val="22"/>
        </w:rPr>
        <w:t>A pályázat</w:t>
      </w:r>
      <w:r>
        <w:rPr>
          <w:color w:val="auto"/>
          <w:sz w:val="22"/>
          <w:szCs w:val="22"/>
        </w:rPr>
        <w:t>ra való jelentkezést</w:t>
      </w:r>
      <w:r w:rsidRPr="00FD10CA">
        <w:rPr>
          <w:color w:val="auto"/>
          <w:sz w:val="22"/>
          <w:szCs w:val="22"/>
        </w:rPr>
        <w:t xml:space="preserve"> borítékban a Polgármesternek címezve a Polgármesteri Kabineten (1153 Budapest Bocskai u. 1-3.) lehet leadni.</w:t>
      </w:r>
    </w:p>
    <w:p w14:paraId="4DDD6CC2" w14:textId="77777777" w:rsidR="008120A0" w:rsidRPr="00526809" w:rsidRDefault="008120A0" w:rsidP="008120A0">
      <w:pPr>
        <w:pStyle w:val="Default"/>
        <w:ind w:left="720"/>
        <w:rPr>
          <w:color w:val="auto"/>
          <w:sz w:val="22"/>
          <w:szCs w:val="22"/>
        </w:rPr>
      </w:pPr>
    </w:p>
    <w:p w14:paraId="42A23EDF" w14:textId="77777777" w:rsidR="008120A0" w:rsidRPr="00073968" w:rsidRDefault="008120A0" w:rsidP="008120A0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073968">
        <w:rPr>
          <w:b/>
          <w:color w:val="auto"/>
          <w:sz w:val="22"/>
          <w:szCs w:val="22"/>
        </w:rPr>
        <w:t xml:space="preserve">Az adatkezelés címzettjei: </w:t>
      </w:r>
    </w:p>
    <w:p w14:paraId="6552B62B" w14:textId="77777777" w:rsidR="008120A0" w:rsidRPr="00073968" w:rsidRDefault="008120A0" w:rsidP="008120A0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1238290" w14:textId="77777777" w:rsidR="008120A0" w:rsidRPr="00FD10CA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  <w:r w:rsidRPr="00FD10CA">
        <w:rPr>
          <w:color w:val="auto"/>
          <w:sz w:val="22"/>
          <w:szCs w:val="22"/>
        </w:rPr>
        <w:t xml:space="preserve"> A Hivatal munkatársai, szakosztályvezetők.</w:t>
      </w:r>
    </w:p>
    <w:p w14:paraId="3A549A37" w14:textId="77777777" w:rsidR="008120A0" w:rsidRPr="00073968" w:rsidRDefault="008120A0" w:rsidP="008120A0">
      <w:pPr>
        <w:pStyle w:val="Default"/>
        <w:ind w:left="1080"/>
        <w:rPr>
          <w:bCs/>
          <w:color w:val="auto"/>
          <w:sz w:val="22"/>
          <w:szCs w:val="22"/>
        </w:rPr>
      </w:pPr>
    </w:p>
    <w:p w14:paraId="5AAD09E5" w14:textId="77777777" w:rsidR="008120A0" w:rsidRPr="00073968" w:rsidRDefault="008120A0" w:rsidP="008120A0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073968">
        <w:rPr>
          <w:b/>
          <w:color w:val="auto"/>
          <w:sz w:val="22"/>
          <w:szCs w:val="22"/>
        </w:rPr>
        <w:t>A kezelt adatok forrása:</w:t>
      </w:r>
    </w:p>
    <w:p w14:paraId="3B616ED5" w14:textId="77777777" w:rsidR="008120A0" w:rsidRPr="00073968" w:rsidRDefault="008120A0" w:rsidP="008120A0">
      <w:pPr>
        <w:pStyle w:val="Default"/>
        <w:ind w:left="720"/>
        <w:rPr>
          <w:b/>
          <w:color w:val="auto"/>
          <w:sz w:val="22"/>
          <w:szCs w:val="22"/>
        </w:rPr>
      </w:pPr>
    </w:p>
    <w:p w14:paraId="23E5B6A6" w14:textId="24D5E8F1" w:rsidR="008120A0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A Hivatal </w:t>
      </w:r>
      <w:r>
        <w:rPr>
          <w:color w:val="auto"/>
          <w:sz w:val="22"/>
          <w:szCs w:val="22"/>
        </w:rPr>
        <w:t xml:space="preserve">a jelentkezéssel összefüggésben </w:t>
      </w:r>
      <w:r w:rsidRPr="00073968">
        <w:rPr>
          <w:color w:val="auto"/>
          <w:sz w:val="22"/>
          <w:szCs w:val="22"/>
        </w:rPr>
        <w:t>a</w:t>
      </w:r>
      <w:r>
        <w:rPr>
          <w:color w:val="auto"/>
          <w:sz w:val="22"/>
          <w:szCs w:val="22"/>
        </w:rPr>
        <w:t xml:space="preserve"> pályázó egyházak által önkéntesen megadott </w:t>
      </w:r>
      <w:r w:rsidRPr="00073968">
        <w:rPr>
          <w:color w:val="auto"/>
          <w:sz w:val="22"/>
          <w:szCs w:val="22"/>
        </w:rPr>
        <w:t>adatokat</w:t>
      </w:r>
      <w:r>
        <w:rPr>
          <w:color w:val="auto"/>
          <w:sz w:val="22"/>
          <w:szCs w:val="22"/>
        </w:rPr>
        <w:t xml:space="preserve"> </w:t>
      </w:r>
      <w:r w:rsidRPr="00433D0D">
        <w:rPr>
          <w:color w:val="auto"/>
          <w:sz w:val="22"/>
          <w:szCs w:val="22"/>
        </w:rPr>
        <w:t>kezeli.</w:t>
      </w:r>
    </w:p>
    <w:p w14:paraId="3E9CCCE8" w14:textId="77777777" w:rsidR="008120A0" w:rsidRPr="00073968" w:rsidRDefault="008120A0" w:rsidP="008120A0">
      <w:pPr>
        <w:pStyle w:val="Default"/>
        <w:rPr>
          <w:color w:val="auto"/>
          <w:sz w:val="22"/>
          <w:szCs w:val="22"/>
        </w:rPr>
      </w:pPr>
    </w:p>
    <w:p w14:paraId="206DA884" w14:textId="77777777" w:rsidR="008120A0" w:rsidRPr="00433D0D" w:rsidRDefault="008120A0" w:rsidP="008120A0">
      <w:pPr>
        <w:pStyle w:val="Listaszerbekezds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 w:rsidRPr="00433D0D">
        <w:rPr>
          <w:b/>
          <w:bCs/>
          <w:sz w:val="22"/>
          <w:szCs w:val="22"/>
        </w:rPr>
        <w:t>Adatfeldolgozás:</w:t>
      </w:r>
    </w:p>
    <w:p w14:paraId="29E68754" w14:textId="77777777" w:rsidR="008120A0" w:rsidRDefault="008120A0" w:rsidP="008120A0">
      <w:pPr>
        <w:pStyle w:val="Listaszerbekezds"/>
        <w:spacing w:after="0"/>
        <w:jc w:val="both"/>
        <w:rPr>
          <w:bCs/>
          <w:sz w:val="22"/>
          <w:szCs w:val="22"/>
        </w:rPr>
      </w:pPr>
      <w:r w:rsidRPr="00433D0D">
        <w:rPr>
          <w:bCs/>
          <w:sz w:val="22"/>
          <w:szCs w:val="22"/>
        </w:rPr>
        <w:t xml:space="preserve">A Hivatal adatfeldolgozót nem vesz igénybe. </w:t>
      </w:r>
    </w:p>
    <w:p w14:paraId="0BE25DE9" w14:textId="77777777" w:rsidR="008120A0" w:rsidRPr="001E1FE6" w:rsidRDefault="008120A0" w:rsidP="008120A0">
      <w:pPr>
        <w:pStyle w:val="Listaszerbekezds"/>
        <w:spacing w:after="120"/>
        <w:jc w:val="both"/>
        <w:rPr>
          <w:bCs/>
          <w:sz w:val="22"/>
          <w:szCs w:val="22"/>
        </w:rPr>
      </w:pPr>
    </w:p>
    <w:p w14:paraId="0639768F" w14:textId="77777777" w:rsidR="008120A0" w:rsidRPr="00073968" w:rsidRDefault="008120A0" w:rsidP="008120A0">
      <w:pPr>
        <w:pStyle w:val="Listaszerbekezds"/>
        <w:numPr>
          <w:ilvl w:val="0"/>
          <w:numId w:val="1"/>
        </w:numPr>
        <w:contextualSpacing w:val="0"/>
        <w:rPr>
          <w:b/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>Adatbiztonság:</w:t>
      </w:r>
    </w:p>
    <w:p w14:paraId="6586074A" w14:textId="77777777" w:rsidR="008120A0" w:rsidRPr="00073968" w:rsidRDefault="008120A0" w:rsidP="008120A0">
      <w:pPr>
        <w:pStyle w:val="Listaszerbekezds"/>
        <w:jc w:val="both"/>
        <w:rPr>
          <w:b/>
          <w:bCs/>
          <w:sz w:val="22"/>
          <w:szCs w:val="22"/>
        </w:rPr>
      </w:pPr>
      <w:r w:rsidRPr="00073968">
        <w:rPr>
          <w:sz w:val="22"/>
          <w:szCs w:val="22"/>
        </w:rPr>
        <w:t xml:space="preserve">A Hivatal az adatbiztonsági követelményeket a hozzáférési jogosultságok szabályozása, a megfelelő fizikai védelem (iratok kezelése, tárolása; zárható iroda, zárható szekrény) biztosítása, a vonatkozó belső utasítások szabályainak betartása útján valósítja meg. </w:t>
      </w:r>
    </w:p>
    <w:p w14:paraId="61D29CB0" w14:textId="77777777" w:rsidR="008120A0" w:rsidRPr="00FD10CA" w:rsidRDefault="008120A0" w:rsidP="008120A0">
      <w:pPr>
        <w:pStyle w:val="Listaszerbekezds"/>
        <w:spacing w:after="0"/>
        <w:jc w:val="both"/>
        <w:rPr>
          <w:sz w:val="22"/>
          <w:szCs w:val="22"/>
        </w:rPr>
      </w:pPr>
      <w:r w:rsidRPr="00073968">
        <w:rPr>
          <w:bCs/>
          <w:sz w:val="22"/>
          <w:szCs w:val="22"/>
        </w:rPr>
        <w:t>Az adatbiztonságra az állami és önkormányzati szervek elektronikus információbiztonságáról szóló 2013. évi I. törvényben meghatározott technológia biztonsági, valamint a biztonságos információs eszközökre, termékekre, továbbá a biztonsági osztályba és biztonsági szintbe sorolásra vonatkozó követelményekről szóló 41/2015. (VII.15.) BM rendelet előírásai az irányadóak.</w:t>
      </w:r>
      <w:r w:rsidRPr="00073968">
        <w:rPr>
          <w:sz w:val="22"/>
          <w:szCs w:val="22"/>
        </w:rPr>
        <w:t xml:space="preserve"> </w:t>
      </w:r>
    </w:p>
    <w:p w14:paraId="67D200F9" w14:textId="77777777" w:rsidR="008120A0" w:rsidRPr="00073968" w:rsidRDefault="008120A0" w:rsidP="008120A0">
      <w:pPr>
        <w:pStyle w:val="Listaszerbekezds"/>
        <w:spacing w:after="0"/>
        <w:jc w:val="both"/>
        <w:rPr>
          <w:sz w:val="22"/>
          <w:szCs w:val="22"/>
        </w:rPr>
      </w:pPr>
    </w:p>
    <w:p w14:paraId="7E7C4604" w14:textId="77777777" w:rsidR="008120A0" w:rsidRPr="00073968" w:rsidRDefault="008120A0" w:rsidP="008120A0">
      <w:pPr>
        <w:pStyle w:val="Listaszerbekezds"/>
        <w:numPr>
          <w:ilvl w:val="0"/>
          <w:numId w:val="1"/>
        </w:numPr>
        <w:contextualSpacing w:val="0"/>
        <w:rPr>
          <w:sz w:val="22"/>
          <w:szCs w:val="22"/>
        </w:rPr>
      </w:pPr>
      <w:r w:rsidRPr="00073968">
        <w:rPr>
          <w:b/>
          <w:sz w:val="22"/>
          <w:szCs w:val="22"/>
        </w:rPr>
        <w:t>Automatizált döntéshozatal:</w:t>
      </w:r>
      <w:r w:rsidRPr="00073968">
        <w:rPr>
          <w:sz w:val="22"/>
          <w:szCs w:val="22"/>
        </w:rPr>
        <w:t xml:space="preserve"> </w:t>
      </w:r>
    </w:p>
    <w:p w14:paraId="0097076F" w14:textId="77777777" w:rsidR="008120A0" w:rsidRPr="00073968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Az adatkezelései tevékenységek során automatizált döntéshozatal nem történik. </w:t>
      </w:r>
    </w:p>
    <w:p w14:paraId="3D04EA17" w14:textId="77777777" w:rsidR="008120A0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0955A1D" w14:textId="77777777" w:rsidR="008120A0" w:rsidRPr="00073968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CAEBCBC" w14:textId="77777777" w:rsidR="008120A0" w:rsidRPr="00073968" w:rsidRDefault="008120A0" w:rsidP="008120A0">
      <w:pPr>
        <w:pStyle w:val="Listaszerbekezds"/>
        <w:numPr>
          <w:ilvl w:val="0"/>
          <w:numId w:val="1"/>
        </w:numPr>
        <w:contextualSpacing w:val="0"/>
        <w:jc w:val="both"/>
        <w:rPr>
          <w:bCs/>
          <w:sz w:val="22"/>
          <w:szCs w:val="22"/>
        </w:rPr>
      </w:pPr>
      <w:r w:rsidRPr="00073968">
        <w:rPr>
          <w:b/>
          <w:bCs/>
          <w:sz w:val="22"/>
          <w:szCs w:val="22"/>
        </w:rPr>
        <w:t xml:space="preserve">Az adatkezeléssel érintettek jogai: </w:t>
      </w:r>
    </w:p>
    <w:p w14:paraId="568B6CF6" w14:textId="77777777" w:rsidR="008120A0" w:rsidRPr="00073968" w:rsidRDefault="008120A0" w:rsidP="008120A0">
      <w:pPr>
        <w:pStyle w:val="Listaszerbekezds"/>
        <w:jc w:val="both"/>
        <w:rPr>
          <w:bCs/>
          <w:sz w:val="22"/>
          <w:szCs w:val="22"/>
        </w:rPr>
      </w:pPr>
      <w:r w:rsidRPr="00073968">
        <w:rPr>
          <w:sz w:val="22"/>
          <w:szCs w:val="22"/>
        </w:rPr>
        <w:t xml:space="preserve">Az érintettek az alábbi jogérvényesítési lehetőségekkel élhetnek: </w:t>
      </w:r>
    </w:p>
    <w:p w14:paraId="3DDFF7B4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- </w:t>
      </w:r>
      <w:r w:rsidRPr="00073968">
        <w:rPr>
          <w:i/>
          <w:color w:val="auto"/>
          <w:sz w:val="22"/>
          <w:szCs w:val="22"/>
        </w:rPr>
        <w:t>kérhetik tájékoztatásukat személyes adataik kezeléséről (hozzáféréshez való jog);</w:t>
      </w:r>
      <w:r w:rsidRPr="00073968">
        <w:rPr>
          <w:color w:val="auto"/>
          <w:sz w:val="22"/>
          <w:szCs w:val="22"/>
        </w:rPr>
        <w:t xml:space="preserve"> </w:t>
      </w:r>
    </w:p>
    <w:p w14:paraId="542E822A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tájékoztatást kérhetnek arra vonatkozóan, hogy személyes adataik kezelése folyamatban van-e, megismerhetik azt, hogy </w:t>
      </w:r>
    </w:p>
    <w:p w14:paraId="174473EE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- a Hivatal milyen személyes adataikat, </w:t>
      </w:r>
    </w:p>
    <w:p w14:paraId="38202FCD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- milyen jogalapon, </w:t>
      </w:r>
    </w:p>
    <w:p w14:paraId="45D6AA1B" w14:textId="77777777" w:rsidR="008120A0" w:rsidRPr="00073968" w:rsidRDefault="008120A0" w:rsidP="008120A0">
      <w:pPr>
        <w:pStyle w:val="Default"/>
        <w:spacing w:after="38"/>
        <w:ind w:left="720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- milyen adatkezelési cél miatt, </w:t>
      </w:r>
    </w:p>
    <w:p w14:paraId="5748B775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>- mennyi ideig kezel; továbbá, hogy</w:t>
      </w:r>
    </w:p>
    <w:p w14:paraId="1BB2E1B1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color w:val="auto"/>
          <w:sz w:val="22"/>
          <w:szCs w:val="22"/>
        </w:rPr>
        <w:t>- a Hivatal</w:t>
      </w:r>
      <w:r w:rsidRPr="00073968">
        <w:rPr>
          <w:sz w:val="22"/>
          <w:szCs w:val="22"/>
        </w:rPr>
        <w:t xml:space="preserve"> kinek, mikor, milyen jogszabály alapján, mely személyes adataikhoz biztosított hozzáférést vagy kinek továbbította a személyes adataikat;</w:t>
      </w:r>
    </w:p>
    <w:p w14:paraId="38890324" w14:textId="77777777" w:rsidR="008120A0" w:rsidRPr="00073968" w:rsidRDefault="008120A0" w:rsidP="008120A0">
      <w:pPr>
        <w:pStyle w:val="Default"/>
        <w:spacing w:after="38"/>
        <w:ind w:left="720"/>
        <w:rPr>
          <w:sz w:val="22"/>
          <w:szCs w:val="22"/>
        </w:rPr>
      </w:pPr>
      <w:r w:rsidRPr="00073968">
        <w:rPr>
          <w:sz w:val="22"/>
          <w:szCs w:val="22"/>
        </w:rPr>
        <w:t>- milyen forrásból származnak a személyes adataik;</w:t>
      </w:r>
    </w:p>
    <w:p w14:paraId="7B4A4C9F" w14:textId="77777777" w:rsidR="008120A0" w:rsidRPr="00073968" w:rsidRDefault="008120A0" w:rsidP="008120A0">
      <w:pPr>
        <w:pStyle w:val="Default"/>
        <w:spacing w:after="38"/>
        <w:ind w:left="720"/>
        <w:rPr>
          <w:sz w:val="22"/>
          <w:szCs w:val="22"/>
        </w:rPr>
      </w:pPr>
      <w:r w:rsidRPr="00073968">
        <w:rPr>
          <w:sz w:val="22"/>
          <w:szCs w:val="22"/>
        </w:rPr>
        <w:t>- történik-e automatikus döntéshozatal, illetve annak mi a logikája, ideértve a profilalkotást is</w:t>
      </w:r>
    </w:p>
    <w:p w14:paraId="6C6A7A14" w14:textId="77777777" w:rsidR="008120A0" w:rsidRPr="00073968" w:rsidRDefault="008120A0" w:rsidP="008120A0">
      <w:pPr>
        <w:pStyle w:val="Default"/>
        <w:spacing w:after="38"/>
        <w:ind w:firstLine="708"/>
        <w:rPr>
          <w:sz w:val="22"/>
          <w:szCs w:val="22"/>
        </w:rPr>
      </w:pPr>
    </w:p>
    <w:p w14:paraId="4BDA3718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Az adatbiztonság követelményének teljesülése és az érintett jogainak védelme érdekében a Hivatal köteles meggyőződni az érintett és a hozzáférési jogával élni kívánó személy személyazonosságának az egyezőségéről, ennek érdekében a tájékoztatás, az adatokba történő betekintés, illetve azokról másolat kiadása is az érintett személyének azonosításához kötött.</w:t>
      </w:r>
    </w:p>
    <w:p w14:paraId="0D8067DE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121D6274" w14:textId="77777777" w:rsidR="008120A0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A Hivatal az adatkezelés tárgyát képező személyes adatok másolatát első alkalommal díjmentesen bocsátja az érintett rendelkezésére, ezt követően adminisztratív költségeken alapuló ésszerű díjat számolhat fel.</w:t>
      </w:r>
    </w:p>
    <w:p w14:paraId="0C56B577" w14:textId="77777777" w:rsidR="008120A0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757C47FB" w14:textId="77777777" w:rsidR="008120A0" w:rsidRDefault="008120A0" w:rsidP="008120A0">
      <w:pPr>
        <w:pStyle w:val="Default"/>
        <w:numPr>
          <w:ilvl w:val="0"/>
          <w:numId w:val="2"/>
        </w:numPr>
        <w:spacing w:after="38"/>
        <w:ind w:left="851" w:hanging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kérhetik</w:t>
      </w:r>
      <w:r w:rsidRPr="00602193">
        <w:rPr>
          <w:i/>
          <w:sz w:val="22"/>
          <w:szCs w:val="22"/>
        </w:rPr>
        <w:t xml:space="preserve"> a</w:t>
      </w:r>
      <w:r>
        <w:rPr>
          <w:i/>
          <w:sz w:val="22"/>
          <w:szCs w:val="22"/>
        </w:rPr>
        <w:t xml:space="preserve"> személyes adataik kiadását </w:t>
      </w:r>
      <w:r w:rsidRPr="00120607">
        <w:rPr>
          <w:sz w:val="22"/>
          <w:szCs w:val="22"/>
        </w:rPr>
        <w:t>(adathordozhatósághoz való jog)</w:t>
      </w:r>
    </w:p>
    <w:p w14:paraId="3BE25967" w14:textId="77777777" w:rsidR="008120A0" w:rsidRPr="00602193" w:rsidRDefault="008120A0" w:rsidP="008120A0">
      <w:pPr>
        <w:pStyle w:val="Default"/>
        <w:spacing w:after="38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az érintettek kérhetik</w:t>
      </w:r>
      <w:r w:rsidRPr="00602193">
        <w:rPr>
          <w:sz w:val="22"/>
          <w:szCs w:val="22"/>
        </w:rPr>
        <w:t xml:space="preserve"> a rá vonatkozó, általa megadott személyes adatokat tagolt, széles körben használt, elektronikus vagy nyomtatott formában, olvasható formátumban megkaphatja, illetve ezeket továbbíthatja egy másik adatkezelőnek</w:t>
      </w:r>
      <w:r>
        <w:rPr>
          <w:sz w:val="22"/>
          <w:szCs w:val="22"/>
        </w:rPr>
        <w:t>;</w:t>
      </w:r>
    </w:p>
    <w:p w14:paraId="758C8993" w14:textId="77777777" w:rsidR="008120A0" w:rsidRPr="00073968" w:rsidRDefault="008120A0" w:rsidP="008120A0">
      <w:pPr>
        <w:pStyle w:val="Default"/>
        <w:spacing w:after="38"/>
        <w:ind w:firstLine="567"/>
        <w:jc w:val="both"/>
        <w:rPr>
          <w:sz w:val="22"/>
          <w:szCs w:val="22"/>
        </w:rPr>
      </w:pPr>
    </w:p>
    <w:p w14:paraId="2B86BF58" w14:textId="77777777" w:rsidR="008120A0" w:rsidRPr="00073968" w:rsidRDefault="008120A0" w:rsidP="008120A0">
      <w:pPr>
        <w:pStyle w:val="Default"/>
        <w:spacing w:after="38"/>
        <w:ind w:firstLine="708"/>
        <w:jc w:val="both"/>
        <w:rPr>
          <w:i/>
          <w:sz w:val="22"/>
          <w:szCs w:val="22"/>
        </w:rPr>
      </w:pPr>
      <w:r w:rsidRPr="00073968">
        <w:rPr>
          <w:sz w:val="22"/>
          <w:szCs w:val="22"/>
        </w:rPr>
        <w:t xml:space="preserve">- </w:t>
      </w:r>
      <w:r w:rsidRPr="00073968">
        <w:rPr>
          <w:i/>
          <w:sz w:val="22"/>
          <w:szCs w:val="22"/>
        </w:rPr>
        <w:t xml:space="preserve">kérhetik személyes adataiknak helyesbítését vagy kiegészítését; </w:t>
      </w:r>
    </w:p>
    <w:p w14:paraId="6B675F05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az érintettek kérhetik, hogy a Hivatal módosítsa vagy egészítse ki a pontatlan vagy hiányos személyes adatokat, amennyiben hitelt érdemlően igazolni tudják a helyesbített adat pontosságát, vagy kiegészítés szükségességét, amely kérelemnek a Hivatal indokolatlan késedelem nélkül eleget tesz és erről az érintetteteket az általuk megadott elérhetőségen értesítési;</w:t>
      </w:r>
    </w:p>
    <w:p w14:paraId="77B52AAA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</w:p>
    <w:p w14:paraId="7C32B2AA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 xml:space="preserve">- </w:t>
      </w:r>
      <w:r w:rsidRPr="00073968">
        <w:rPr>
          <w:i/>
          <w:sz w:val="22"/>
          <w:szCs w:val="22"/>
        </w:rPr>
        <w:t>kérhetik személyes adataik törlését</w:t>
      </w:r>
      <w:r w:rsidRPr="00073968">
        <w:rPr>
          <w:sz w:val="22"/>
          <w:szCs w:val="22"/>
        </w:rPr>
        <w:t xml:space="preserve">; </w:t>
      </w:r>
    </w:p>
    <w:p w14:paraId="3FFD2E27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 xml:space="preserve">az érintettek élhetnek a törléshez való jogukkal, ha további közhatalmi jogosítvány gyakorlása keretében végzett, vagy a közérdekű feladat végrehajtásához, illetve az Hivatal jogi kötelezettségének a teljesítéséhez az adat nem szükséges. </w:t>
      </w:r>
    </w:p>
    <w:p w14:paraId="6EE05486" w14:textId="77777777" w:rsidR="008120A0" w:rsidRPr="00073968" w:rsidRDefault="008120A0" w:rsidP="008120A0">
      <w:pPr>
        <w:pStyle w:val="Default"/>
        <w:spacing w:after="38"/>
        <w:ind w:left="720"/>
        <w:rPr>
          <w:sz w:val="22"/>
          <w:szCs w:val="22"/>
        </w:rPr>
      </w:pPr>
    </w:p>
    <w:p w14:paraId="2F178806" w14:textId="77777777" w:rsidR="008120A0" w:rsidRPr="00073968" w:rsidRDefault="008120A0" w:rsidP="008120A0">
      <w:pPr>
        <w:pStyle w:val="Default"/>
        <w:spacing w:after="38"/>
        <w:ind w:left="720"/>
        <w:rPr>
          <w:sz w:val="22"/>
          <w:szCs w:val="22"/>
        </w:rPr>
      </w:pPr>
      <w:r w:rsidRPr="00073968">
        <w:rPr>
          <w:sz w:val="22"/>
          <w:szCs w:val="22"/>
        </w:rPr>
        <w:t xml:space="preserve">- </w:t>
      </w:r>
      <w:r w:rsidRPr="00073968">
        <w:rPr>
          <w:i/>
          <w:sz w:val="22"/>
          <w:szCs w:val="22"/>
        </w:rPr>
        <w:t>kérhetik személyes adataik kezelésének korlátozását</w:t>
      </w:r>
      <w:r w:rsidRPr="00073968">
        <w:rPr>
          <w:sz w:val="22"/>
          <w:szCs w:val="22"/>
        </w:rPr>
        <w:t xml:space="preserve"> (zároláshoz való jog); </w:t>
      </w:r>
    </w:p>
    <w:p w14:paraId="34CA2506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az érintettek kérhetik személyes adataik kezelésének korlátozását (az adatkezelés korlátozott jellegének egyértelmű jelölésével és egyéb adatoktól elkülönített kezelés biztosításával) amennyiben:</w:t>
      </w:r>
    </w:p>
    <w:p w14:paraId="49FB1EA9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- vitatják a személyes adataik pontosságát, annak ellenőrzése időtartamára</w:t>
      </w:r>
    </w:p>
    <w:p w14:paraId="41D41E2C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- az adatkezelés jogellenessége esetén, ha az érintettek ellenzik az adatok törlését,</w:t>
      </w:r>
    </w:p>
    <w:p w14:paraId="01966397" w14:textId="77777777" w:rsidR="008120A0" w:rsidRPr="00073968" w:rsidRDefault="008120A0" w:rsidP="008120A0">
      <w:pPr>
        <w:pStyle w:val="Default"/>
        <w:spacing w:after="38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 xml:space="preserve"> - a Hivatalnak már nincs szüksége a személyes adatokra adatkezelés céljából, de az érintettek igénylik azokat jogi igények előterjesztéséhez, érvényesítéséhez vagy védelméhez,</w:t>
      </w:r>
    </w:p>
    <w:p w14:paraId="01775706" w14:textId="77777777" w:rsidR="008120A0" w:rsidRPr="00073968" w:rsidRDefault="008120A0" w:rsidP="008120A0">
      <w:pPr>
        <w:pStyle w:val="Default"/>
        <w:spacing w:after="38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>- az érintett tiltakozott az adatkezelés ellen (ez esetben a korlátozás arra az időtartamra vonatkozik, amíg megállapításra kerül, hogy a Hivatal jogos indokai elsőbbséget élveznek-e az érintett jogos indokaival szemben);</w:t>
      </w:r>
    </w:p>
    <w:p w14:paraId="5A523960" w14:textId="77777777" w:rsidR="008120A0" w:rsidRPr="00073968" w:rsidRDefault="008120A0" w:rsidP="008120A0">
      <w:pPr>
        <w:pStyle w:val="Default"/>
        <w:spacing w:after="38"/>
        <w:rPr>
          <w:sz w:val="22"/>
          <w:szCs w:val="22"/>
        </w:rPr>
      </w:pPr>
    </w:p>
    <w:p w14:paraId="1F70060F" w14:textId="77777777" w:rsidR="008120A0" w:rsidRPr="00073968" w:rsidRDefault="008120A0" w:rsidP="008120A0">
      <w:pPr>
        <w:pStyle w:val="Default"/>
        <w:ind w:left="708"/>
        <w:jc w:val="both"/>
        <w:rPr>
          <w:sz w:val="22"/>
          <w:szCs w:val="22"/>
        </w:rPr>
      </w:pPr>
      <w:r w:rsidRPr="00073968">
        <w:rPr>
          <w:sz w:val="22"/>
          <w:szCs w:val="22"/>
        </w:rPr>
        <w:t xml:space="preserve">- </w:t>
      </w:r>
      <w:r w:rsidRPr="00073968">
        <w:rPr>
          <w:i/>
          <w:sz w:val="22"/>
          <w:szCs w:val="22"/>
        </w:rPr>
        <w:t>tiltakozhatnak személyes adataik kezelése ellen:</w:t>
      </w:r>
      <w:r w:rsidRPr="00073968">
        <w:rPr>
          <w:sz w:val="22"/>
          <w:szCs w:val="22"/>
        </w:rPr>
        <w:t xml:space="preserve"> a Hivatal fent megadott elérhetőségein keresztül saját helyzetével kapcsolatos okokból bármikor tiltakozhat az érintett az adatkezelés ellen, ha álláspontja szerint a Hivatal a személyes adatát a jelen adatkezelési tájékoztatóban megjelölt céllal összefüggésben nem megfelelően kezelné. Ebben az esetben a Hivatal a személyes adatokat nem kezelheti tovább, kivéve, ha az adatkezelés olyan kényszerítő </w:t>
      </w:r>
      <w:proofErr w:type="spellStart"/>
      <w:r w:rsidRPr="00073968">
        <w:rPr>
          <w:sz w:val="22"/>
          <w:szCs w:val="22"/>
        </w:rPr>
        <w:t>erejű</w:t>
      </w:r>
      <w:proofErr w:type="spellEnd"/>
      <w:r w:rsidRPr="00073968">
        <w:rPr>
          <w:sz w:val="22"/>
          <w:szCs w:val="22"/>
        </w:rPr>
        <w:t xml:space="preserve"> jogos okok indokolják, amelyek elsőbbséget élveznek az érintett érdekeivel, jogaival és szabadságaival szemben, vagy amelyek jogi igények előterjesztéséhez, érvényesítéséhez vagy védelméhez kapcsolódnak. </w:t>
      </w:r>
    </w:p>
    <w:p w14:paraId="27A52114" w14:textId="77777777" w:rsidR="008120A0" w:rsidRPr="00073968" w:rsidRDefault="008120A0" w:rsidP="008120A0">
      <w:pPr>
        <w:pStyle w:val="Default"/>
        <w:rPr>
          <w:sz w:val="22"/>
          <w:szCs w:val="22"/>
        </w:rPr>
      </w:pPr>
    </w:p>
    <w:p w14:paraId="04F2B584" w14:textId="77777777" w:rsidR="008120A0" w:rsidRPr="00073968" w:rsidRDefault="008120A0" w:rsidP="008120A0">
      <w:pPr>
        <w:pStyle w:val="Default"/>
        <w:ind w:left="720"/>
        <w:jc w:val="both"/>
        <w:rPr>
          <w:sz w:val="22"/>
          <w:szCs w:val="22"/>
        </w:rPr>
      </w:pPr>
      <w:r w:rsidRPr="00073968">
        <w:rPr>
          <w:sz w:val="22"/>
          <w:szCs w:val="22"/>
        </w:rPr>
        <w:t xml:space="preserve">Az érintettek fenti jogaik gyakorlása iránt </w:t>
      </w:r>
      <w:r>
        <w:rPr>
          <w:sz w:val="22"/>
          <w:szCs w:val="22"/>
        </w:rPr>
        <w:t xml:space="preserve">a Hivatal egyik elérhetőségén keresztül </w:t>
      </w:r>
      <w:r w:rsidRPr="00073968">
        <w:rPr>
          <w:sz w:val="22"/>
          <w:szCs w:val="22"/>
        </w:rPr>
        <w:t>benyújtott kérelmét a Hivatal a kérelem benyújtásától számított egy hónapon belül teljesíti. Ez a határidő további két hónappal meghosszabbításra kerülhet, ha az érintett kérelme összetett, vagy egyidejűleg több kérelem kerül benyújtásra. A Hivatal az érintettet a kérelem benyújtásától számított egy hónapon belül tájékoztatja a határidő meghosszabbításáról és annak indokáról.</w:t>
      </w:r>
    </w:p>
    <w:p w14:paraId="6E2A33BC" w14:textId="77777777" w:rsidR="008120A0" w:rsidRDefault="008120A0" w:rsidP="008120A0">
      <w:pPr>
        <w:pStyle w:val="Default"/>
        <w:rPr>
          <w:b/>
          <w:color w:val="auto"/>
          <w:sz w:val="22"/>
          <w:szCs w:val="22"/>
        </w:rPr>
      </w:pPr>
    </w:p>
    <w:p w14:paraId="640FA8A2" w14:textId="77777777" w:rsidR="008120A0" w:rsidRPr="00073968" w:rsidRDefault="008120A0" w:rsidP="008120A0">
      <w:pPr>
        <w:pStyle w:val="Default"/>
        <w:rPr>
          <w:b/>
          <w:color w:val="auto"/>
          <w:sz w:val="22"/>
          <w:szCs w:val="22"/>
        </w:rPr>
      </w:pPr>
    </w:p>
    <w:p w14:paraId="47C53A13" w14:textId="77777777" w:rsidR="008120A0" w:rsidRPr="00073968" w:rsidRDefault="008120A0" w:rsidP="008120A0">
      <w:pPr>
        <w:pStyle w:val="Default"/>
        <w:numPr>
          <w:ilvl w:val="0"/>
          <w:numId w:val="1"/>
        </w:numPr>
        <w:rPr>
          <w:b/>
          <w:color w:val="auto"/>
          <w:sz w:val="22"/>
          <w:szCs w:val="22"/>
        </w:rPr>
      </w:pPr>
      <w:r w:rsidRPr="00073968">
        <w:rPr>
          <w:b/>
          <w:color w:val="auto"/>
          <w:sz w:val="22"/>
          <w:szCs w:val="22"/>
        </w:rPr>
        <w:t>Jogorvoslati lehetőségek</w:t>
      </w:r>
    </w:p>
    <w:p w14:paraId="7451C1F7" w14:textId="77777777" w:rsidR="008120A0" w:rsidRDefault="008120A0" w:rsidP="008120A0">
      <w:pPr>
        <w:pStyle w:val="Default"/>
        <w:ind w:left="720"/>
        <w:rPr>
          <w:color w:val="auto"/>
          <w:sz w:val="22"/>
          <w:szCs w:val="22"/>
        </w:rPr>
      </w:pPr>
    </w:p>
    <w:p w14:paraId="7F8B237A" w14:textId="77777777" w:rsidR="008120A0" w:rsidRPr="002159C2" w:rsidRDefault="008120A0" w:rsidP="008120A0">
      <w:pPr>
        <w:pStyle w:val="Default"/>
        <w:ind w:left="720"/>
        <w:jc w:val="both"/>
        <w:rPr>
          <w:color w:val="auto"/>
          <w:sz w:val="22"/>
          <w:szCs w:val="22"/>
        </w:rPr>
      </w:pPr>
      <w:r w:rsidRPr="002159C2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 xml:space="preserve">Hivatal </w:t>
      </w:r>
      <w:r w:rsidRPr="002159C2">
        <w:rPr>
          <w:color w:val="auto"/>
          <w:sz w:val="22"/>
          <w:szCs w:val="22"/>
        </w:rPr>
        <w:t xml:space="preserve">számára fontos a személyes adatok védelme, egyúttal tiszteletben tartja a Felhasználó információs önrendelkezési jogát, ezért a </w:t>
      </w:r>
      <w:r>
        <w:rPr>
          <w:color w:val="auto"/>
          <w:sz w:val="22"/>
          <w:szCs w:val="22"/>
        </w:rPr>
        <w:t>Hivatal</w:t>
      </w:r>
      <w:r w:rsidRPr="002159C2">
        <w:rPr>
          <w:color w:val="auto"/>
          <w:sz w:val="22"/>
          <w:szCs w:val="22"/>
        </w:rPr>
        <w:t xml:space="preserve"> törekszik minden kérelemre korrekt módon és határidőn belül reagálni. Erre tekintettel megkérjük a Felhasználót, hogy az esetleges hatósági és bírósági igényérvényesítés igénybevétele előtt szíveskedjenek felvenni a kapcsolatot – panasz, vagy kérdés megtétele céljából – a </w:t>
      </w:r>
      <w:r>
        <w:rPr>
          <w:color w:val="auto"/>
          <w:sz w:val="22"/>
          <w:szCs w:val="22"/>
        </w:rPr>
        <w:t>Hivatallal</w:t>
      </w:r>
      <w:r w:rsidRPr="002159C2">
        <w:rPr>
          <w:color w:val="auto"/>
          <w:sz w:val="22"/>
          <w:szCs w:val="22"/>
        </w:rPr>
        <w:t xml:space="preserve"> az esetleges kifogások mihamarabbi rendezése érdekében.</w:t>
      </w:r>
    </w:p>
    <w:p w14:paraId="17DCFE2D" w14:textId="77777777" w:rsidR="008120A0" w:rsidRDefault="008120A0" w:rsidP="008120A0">
      <w:pPr>
        <w:pStyle w:val="Default"/>
        <w:ind w:left="720"/>
        <w:rPr>
          <w:i/>
          <w:color w:val="auto"/>
          <w:sz w:val="22"/>
          <w:szCs w:val="22"/>
        </w:rPr>
      </w:pPr>
    </w:p>
    <w:p w14:paraId="140FCBC2" w14:textId="77777777" w:rsidR="008120A0" w:rsidRPr="002159C2" w:rsidRDefault="008120A0" w:rsidP="008120A0">
      <w:pPr>
        <w:pStyle w:val="Default"/>
        <w:ind w:left="720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Hatósági jogérvényesítés</w:t>
      </w:r>
    </w:p>
    <w:p w14:paraId="3D0888ED" w14:textId="77777777" w:rsidR="008120A0" w:rsidRPr="00073968" w:rsidRDefault="008120A0" w:rsidP="008120A0">
      <w:pPr>
        <w:pStyle w:val="Default"/>
        <w:ind w:left="708" w:firstLine="12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Az </w:t>
      </w:r>
      <w:r w:rsidRPr="00073968">
        <w:rPr>
          <w:color w:val="auto"/>
          <w:sz w:val="22"/>
          <w:szCs w:val="22"/>
        </w:rPr>
        <w:t xml:space="preserve">érintetteknek joguk van a felügyeleti hatósághoz címzett panasz benyújtásához. </w:t>
      </w:r>
      <w:r w:rsidRPr="00073968">
        <w:rPr>
          <w:sz w:val="22"/>
          <w:szCs w:val="22"/>
        </w:rPr>
        <w:t>A Nemzeti Adatvédelmi és Információszabadság Hatóság az érintett panaszát akkor fogadja be, ha panaszával az érintett előbb az adatkezelőhöz fordult, de az nem vezetett eredményre.</w:t>
      </w:r>
    </w:p>
    <w:p w14:paraId="0B79AF76" w14:textId="77777777" w:rsidR="008120A0" w:rsidRPr="00073968" w:rsidRDefault="008120A0" w:rsidP="008120A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>A felügyeleti hatóság neve és elérhetősége:</w:t>
      </w:r>
    </w:p>
    <w:p w14:paraId="564D00A8" w14:textId="77777777" w:rsidR="008120A0" w:rsidRPr="00073968" w:rsidRDefault="008120A0" w:rsidP="008120A0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>Név: Nemzeti Adatvédelmi és Információszabadság Hatóság</w:t>
      </w:r>
    </w:p>
    <w:p w14:paraId="631F0F1C" w14:textId="77777777" w:rsidR="008120A0" w:rsidRPr="00073968" w:rsidRDefault="008120A0" w:rsidP="008120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>Székhely: 1055 Budapest, Falk Miksa u. 9-11.</w:t>
      </w:r>
    </w:p>
    <w:p w14:paraId="39939C75" w14:textId="77777777" w:rsidR="008120A0" w:rsidRPr="00073968" w:rsidRDefault="008120A0" w:rsidP="008120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>Levelezési cím: 1363 Budapest, Pf.: 9.</w:t>
      </w:r>
    </w:p>
    <w:p w14:paraId="6EE614EF" w14:textId="77777777" w:rsidR="008120A0" w:rsidRPr="00073968" w:rsidRDefault="008120A0" w:rsidP="008120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E-mail: </w:t>
      </w:r>
      <w:hyperlink r:id="rId10" w:history="1">
        <w:r w:rsidRPr="00073968">
          <w:rPr>
            <w:rStyle w:val="Hiperhivatkozs"/>
            <w:sz w:val="22"/>
            <w:szCs w:val="22"/>
          </w:rPr>
          <w:t>ugyfelszolgalat@naih.hu</w:t>
        </w:r>
      </w:hyperlink>
    </w:p>
    <w:p w14:paraId="0BBE0C43" w14:textId="77777777" w:rsidR="008120A0" w:rsidRPr="00073968" w:rsidRDefault="008120A0" w:rsidP="008120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Honlap: </w:t>
      </w:r>
      <w:hyperlink r:id="rId11" w:history="1">
        <w:r w:rsidRPr="00073968">
          <w:rPr>
            <w:rStyle w:val="Hiperhivatkozs"/>
            <w:sz w:val="22"/>
            <w:szCs w:val="22"/>
          </w:rPr>
          <w:t>http://www.naih.hu</w:t>
        </w:r>
      </w:hyperlink>
    </w:p>
    <w:p w14:paraId="14E92E80" w14:textId="77777777" w:rsidR="008120A0" w:rsidRPr="00073968" w:rsidRDefault="008120A0" w:rsidP="008120A0">
      <w:pPr>
        <w:pStyle w:val="Default"/>
        <w:rPr>
          <w:color w:val="auto"/>
          <w:sz w:val="22"/>
          <w:szCs w:val="22"/>
        </w:rPr>
      </w:pPr>
    </w:p>
    <w:p w14:paraId="50A994E7" w14:textId="77777777" w:rsidR="008120A0" w:rsidRPr="00073968" w:rsidRDefault="008120A0" w:rsidP="008120A0">
      <w:pPr>
        <w:pStyle w:val="Default"/>
        <w:ind w:left="720"/>
        <w:rPr>
          <w:i/>
          <w:color w:val="auto"/>
          <w:sz w:val="22"/>
          <w:szCs w:val="22"/>
        </w:rPr>
      </w:pPr>
      <w:r w:rsidRPr="00073968">
        <w:rPr>
          <w:i/>
          <w:color w:val="auto"/>
          <w:sz w:val="22"/>
          <w:szCs w:val="22"/>
        </w:rPr>
        <w:t xml:space="preserve">Bírósági jogérvényesítés </w:t>
      </w:r>
    </w:p>
    <w:p w14:paraId="14C248CC" w14:textId="77777777" w:rsidR="008120A0" w:rsidRPr="00073968" w:rsidRDefault="008120A0" w:rsidP="008120A0">
      <w:pPr>
        <w:pStyle w:val="Default"/>
        <w:ind w:left="708"/>
        <w:jc w:val="both"/>
        <w:rPr>
          <w:color w:val="auto"/>
          <w:sz w:val="22"/>
          <w:szCs w:val="22"/>
        </w:rPr>
      </w:pPr>
      <w:r w:rsidRPr="00073968">
        <w:rPr>
          <w:color w:val="auto"/>
          <w:sz w:val="22"/>
          <w:szCs w:val="22"/>
        </w:rPr>
        <w:t xml:space="preserve">Az érintettek a jogaik megsértése esetén bírósághoz fordulhatnak. A bíróság az ügyben soron kívül jár el. A pert az érintettek – választásuknak megfelelően - a Fővárosi Törvényszék vagy </w:t>
      </w:r>
      <w:proofErr w:type="gramStart"/>
      <w:r w:rsidRPr="00073968">
        <w:rPr>
          <w:color w:val="auto"/>
          <w:sz w:val="22"/>
          <w:szCs w:val="22"/>
        </w:rPr>
        <w:t>lakóhelyük</w:t>
      </w:r>
      <w:proofErr w:type="gramEnd"/>
      <w:r>
        <w:rPr>
          <w:color w:val="auto"/>
          <w:sz w:val="22"/>
          <w:szCs w:val="22"/>
        </w:rPr>
        <w:t xml:space="preserve"> </w:t>
      </w:r>
      <w:r w:rsidRPr="00073968">
        <w:rPr>
          <w:color w:val="auto"/>
          <w:sz w:val="22"/>
          <w:szCs w:val="22"/>
        </w:rPr>
        <w:t>vagy tartózkodási helyük szerint illetékes törvényszék előtt is megindíthatják.</w:t>
      </w:r>
      <w:r w:rsidRPr="00073968">
        <w:rPr>
          <w:sz w:val="22"/>
          <w:szCs w:val="22"/>
        </w:rPr>
        <w:t xml:space="preserve"> Az illetékes törvényszék megkereshető a http://birosag.hu/ugyfelkapcsolati-portal/birosag-kereso oldalon.</w:t>
      </w:r>
    </w:p>
    <w:p w14:paraId="7C6F7CA4" w14:textId="77777777" w:rsidR="008120A0" w:rsidRDefault="008120A0" w:rsidP="008120A0"/>
    <w:p w14:paraId="269B707A" w14:textId="77777777" w:rsidR="005A33D0" w:rsidRDefault="005A33D0"/>
    <w:sectPr w:rsidR="005A3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idaReg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F2037"/>
    <w:multiLevelType w:val="hybridMultilevel"/>
    <w:tmpl w:val="4558C1EE"/>
    <w:lvl w:ilvl="0" w:tplc="2B56DE4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E612EA"/>
    <w:multiLevelType w:val="hybridMultilevel"/>
    <w:tmpl w:val="C81C8F5A"/>
    <w:lvl w:ilvl="0" w:tplc="D1EAAA3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624051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0991">
    <w:abstractNumId w:val="1"/>
  </w:num>
  <w:num w:numId="2" w16cid:durableId="5197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A0"/>
    <w:rsid w:val="002371ED"/>
    <w:rsid w:val="0025152A"/>
    <w:rsid w:val="005A33D0"/>
    <w:rsid w:val="006254E7"/>
    <w:rsid w:val="008120A0"/>
    <w:rsid w:val="0091577E"/>
    <w:rsid w:val="00FA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6329"/>
  <w15:chartTrackingRefBased/>
  <w15:docId w15:val="{27874564-2CCC-4DE3-A5D9-4352D016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20A0"/>
    <w:pPr>
      <w:spacing w:after="200" w:line="276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1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1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1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1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1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1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1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1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1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120A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120A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120A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20A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20A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20A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1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1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1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1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1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120A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120A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120A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1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120A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120A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uiPriority w:val="99"/>
    <w:rsid w:val="008120A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uiPriority w:val="99"/>
    <w:rsid w:val="00812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x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gyzo@bpx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naih.h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gasitz.erzsebet@bpx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2025-03-05T11:31:00Z</dcterms:created>
  <dcterms:modified xsi:type="dcterms:W3CDTF">2025-03-05T11:45:00Z</dcterms:modified>
</cp:coreProperties>
</file>